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D840E0" w:rsidRPr="00D840E0">
        <w:rPr>
          <w:rFonts w:ascii="Times New Roman" w:hAnsi="Times New Roman" w:cs="Times New Roman"/>
        </w:rPr>
        <w:t>изделий для стерилизации</w:t>
      </w:r>
      <w:r w:rsidR="00D840E0">
        <w:rPr>
          <w:b/>
        </w:rPr>
        <w:t xml:space="preserve"> </w:t>
      </w:r>
      <w:r w:rsidR="00D840E0">
        <w:rPr>
          <w:b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C85E59" w:rsidRPr="005A0E83" w:rsidTr="00FE6507">
        <w:trPr>
          <w:trHeight w:val="75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59" w:rsidRPr="005A0E83" w:rsidRDefault="00C85E5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C85E59" w:rsidRPr="00F01838" w:rsidRDefault="00C85E59" w:rsidP="00F0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200 мм, ширина не менее 100мм. Форма выпуска: в упаковке не менее 100 шт. Срок годности не менее 5 лет.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E59" w:rsidRPr="002A06D1" w:rsidRDefault="00C85E59" w:rsidP="00214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279,12</w:t>
            </w:r>
          </w:p>
        </w:tc>
      </w:tr>
      <w:tr w:rsidR="00C85E59" w:rsidRPr="005A0E83" w:rsidTr="0066671F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59" w:rsidRDefault="00C85E5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C85E59" w:rsidRPr="00F01838" w:rsidRDefault="00C85E59" w:rsidP="00F0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280 мм, ширина не менее 150 мм. Форма выпуска: в упаковке не менее 100 шт. Срок годности не менее 5 лет.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D563DA" w:rsidRDefault="00D563DA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E59" w:rsidRPr="002A06D1" w:rsidRDefault="00C85E5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400,07</w:t>
            </w:r>
          </w:p>
        </w:tc>
      </w:tr>
      <w:tr w:rsidR="00C85E5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59" w:rsidRDefault="00C85E5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C85E59" w:rsidRPr="00F01838" w:rsidRDefault="00C85E59" w:rsidP="00F0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320 мм, ширина не менее 250 мм. Форма выпуска: в упаковке не менее 100 шт. Срок годности не менее 5 лет.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E59" w:rsidRPr="002A06D1" w:rsidRDefault="00C85E5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616,79</w:t>
            </w:r>
          </w:p>
        </w:tc>
      </w:tr>
      <w:tr w:rsidR="00C85E5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59" w:rsidRDefault="00C85E5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стерилизации </w:t>
            </w:r>
          </w:p>
          <w:p w:rsidR="00C85E59" w:rsidRPr="00F01838" w:rsidRDefault="00C85E5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150 мм.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60 г/кв.м. Температура сваривания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E59" w:rsidRPr="00F01838" w:rsidRDefault="00C85E5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E59" w:rsidRPr="002A06D1" w:rsidRDefault="00C85E5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2354,78</w:t>
            </w:r>
          </w:p>
        </w:tc>
      </w:tr>
      <w:tr w:rsidR="00A02E2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29" w:rsidRDefault="00A02E2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29" w:rsidRPr="00F01838" w:rsidRDefault="00A02E2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стерилизации </w:t>
            </w:r>
          </w:p>
          <w:p w:rsidR="00A02E29" w:rsidRPr="00F01838" w:rsidRDefault="00A02E29" w:rsidP="00F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100 мм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60 г/кв.м. Температура сваривания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F018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E29" w:rsidRPr="002A06D1" w:rsidRDefault="00A02E2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1558,72</w:t>
            </w:r>
          </w:p>
        </w:tc>
      </w:tr>
      <w:tr w:rsidR="00A02E2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29" w:rsidRDefault="00A02E2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29" w:rsidRPr="00CF3758" w:rsidRDefault="00A02E29" w:rsidP="00CF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стерилизации </w:t>
            </w:r>
          </w:p>
          <w:p w:rsidR="00A02E29" w:rsidRPr="00CF3758" w:rsidRDefault="00A02E29" w:rsidP="00CF37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F375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75 мм.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60 г/кв.м. </w:t>
            </w:r>
            <w:r w:rsidRPr="00CF3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Температура сваривания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CF3758" w:rsidRDefault="00A02E29" w:rsidP="00CF37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CF3758" w:rsidRDefault="00A02E29" w:rsidP="00CF37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E29" w:rsidRPr="002A06D1" w:rsidRDefault="00A02E2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1193,17</w:t>
            </w:r>
          </w:p>
        </w:tc>
      </w:tr>
      <w:tr w:rsidR="00A02E2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29" w:rsidRDefault="00A02E2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воздушной стерилизации – температуры стерилизации 180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времени стерилизационной выдержки 60 минут в камере воздушного стерилизатора.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не менее  1000 тестов.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E29" w:rsidRPr="002A06D1" w:rsidRDefault="00A02E29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290,08</w:t>
            </w:r>
          </w:p>
        </w:tc>
      </w:tr>
      <w:tr w:rsidR="00A02E29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29" w:rsidRDefault="00A02E29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паровой стерилизации - температуры стерилизации 134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времени стерилизационной выдержки 5 минут и наличия насыщенного водяного пара: </w:t>
            </w:r>
            <w:r w:rsidRPr="00F01838">
              <w:rPr>
                <w:rFonts w:ascii="Times New Roman" w:hAnsi="Times New Roman" w:cs="Times New Roman"/>
                <w:bCs/>
                <w:sz w:val="20"/>
                <w:szCs w:val="20"/>
              </w:rPr>
              <w:t>в стерилизационной камере и внутри изделий и упаковок</w:t>
            </w: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 паровых стерилизаторах с удалением воздуха из стерилизационной камеры методом многоступенчатого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. 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A02E29" w:rsidRPr="00F01838" w:rsidRDefault="00A02E2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1000 тестов.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E29" w:rsidRPr="00F01838" w:rsidRDefault="00A02E2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E29" w:rsidRPr="002A06D1" w:rsidRDefault="008C3021" w:rsidP="003C33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840,77</w:t>
            </w:r>
          </w:p>
        </w:tc>
      </w:tr>
      <w:tr w:rsidR="008C3021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1" w:rsidRDefault="008C3021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21" w:rsidRPr="00F01838" w:rsidRDefault="008C3021" w:rsidP="00F0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8C3021" w:rsidRPr="00F01838" w:rsidRDefault="008C3021" w:rsidP="00F0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паровой стерилизации - температуры стерилизации 121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времени стерилизационной выдержки 20 минут и наличия насыщенного водяного пара: в стерилизационной камере и внутри изделий и упаковок, в паровых стерилизаторах с удалением воздуха из стерилизационной камеры методом многоступенчатого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.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8C3021" w:rsidRPr="00F01838" w:rsidRDefault="008C3021" w:rsidP="00F0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1000 тестов.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21" w:rsidRPr="00F01838" w:rsidRDefault="008C3021" w:rsidP="00214F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38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21" w:rsidRPr="00F01838" w:rsidRDefault="008C3021" w:rsidP="00214F0A">
            <w:pPr>
              <w:jc w:val="center"/>
              <w:rPr>
                <w:rFonts w:ascii="Times New Roman" w:hAnsi="Times New Roman" w:cs="Times New Roman"/>
              </w:rPr>
            </w:pPr>
            <w:r w:rsidRPr="00F01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021" w:rsidRPr="002A06D1" w:rsidRDefault="008C3021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841,47</w:t>
            </w:r>
          </w:p>
        </w:tc>
      </w:tr>
      <w:tr w:rsidR="008C3021" w:rsidRPr="005A0E83" w:rsidTr="0066671F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1" w:rsidRDefault="008C3021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21" w:rsidRPr="00F13C75" w:rsidRDefault="008C3021" w:rsidP="00214F0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для стерилизации </w:t>
            </w:r>
            <w:r w:rsidRPr="007F5E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мм х500мм.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белого, голубого, зелёного цветов, плотностью 60 г/м</w:t>
            </w:r>
            <w:proofErr w:type="gram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разработана для паровой, воздушной,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этиленоксидной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пароформальдегидной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радиационной стерилизации.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 проницаема для определённых стерилизующих агентов и непроницаема для микроорганизмов при соблюдении правил упаковывания, режимов стерилизации, условий и сроков хранения в ней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простерилизованных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изделий.</w:t>
            </w: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продукта:</w:t>
            </w: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 DIN EN 868, ГОСТ ISO 11607-2011;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Сохраняет прочность и целостность во время и после стерилизации;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Срок сохранения стерильности изделий после стерилизации – до 6 месяцев;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Гарантийный срок годности – 5 лет.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Упаковка 500 штук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21" w:rsidRPr="00F01838" w:rsidRDefault="008C3021" w:rsidP="00214F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38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21" w:rsidRPr="00F01838" w:rsidRDefault="008C3021" w:rsidP="00214F0A">
            <w:pPr>
              <w:jc w:val="center"/>
              <w:rPr>
                <w:rFonts w:ascii="Times New Roman" w:hAnsi="Times New Roman" w:cs="Times New Roman"/>
              </w:rPr>
            </w:pPr>
            <w:r w:rsidRPr="00F01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021" w:rsidRPr="002A06D1" w:rsidRDefault="008C3021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4379,67</w:t>
            </w:r>
          </w:p>
        </w:tc>
      </w:tr>
    </w:tbl>
    <w:p w:rsidR="007B1D39" w:rsidRPr="005A0E83" w:rsidRDefault="007B1D39" w:rsidP="00D5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Pr="0022496A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по заявке Заказчика</w:t>
      </w:r>
      <w:r w:rsidR="00847AC0">
        <w:rPr>
          <w:rFonts w:ascii="Times New Roman" w:hAnsi="Times New Roman" w:cs="Times New Roman"/>
          <w:bCs/>
          <w:sz w:val="24"/>
          <w:szCs w:val="24"/>
        </w:rPr>
        <w:t>,</w:t>
      </w:r>
      <w:r w:rsidR="00847AC0" w:rsidRPr="00847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AC0">
        <w:rPr>
          <w:rFonts w:ascii="Times New Roman" w:hAnsi="Times New Roman" w:cs="Times New Roman"/>
          <w:bCs/>
          <w:sz w:val="24"/>
          <w:szCs w:val="24"/>
        </w:rPr>
        <w:t>но не позднее 31.08.2018г..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.</w:t>
      </w:r>
      <w:r w:rsidR="009D43DD" w:rsidRPr="0022496A">
        <w:rPr>
          <w:rStyle w:val="af4"/>
          <w:b/>
          <w:iCs/>
          <w:color w:val="000000"/>
          <w:sz w:val="24"/>
          <w:szCs w:val="24"/>
        </w:rPr>
        <w:t xml:space="preserve"> </w:t>
      </w:r>
      <w:proofErr w:type="gramStart"/>
      <w:r w:rsidR="009D43DD" w:rsidRPr="002249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DA51C4" w:rsidRPr="0022496A">
        <w:rPr>
          <w:rStyle w:val="af4"/>
          <w:iCs/>
          <w:color w:val="000000"/>
          <w:sz w:val="24"/>
          <w:szCs w:val="24"/>
        </w:rPr>
        <w:t>3</w:t>
      </w:r>
      <w:r w:rsidR="008012A7" w:rsidRPr="0022496A">
        <w:rPr>
          <w:rStyle w:val="af4"/>
          <w:iCs/>
          <w:color w:val="000000"/>
          <w:sz w:val="24"/>
          <w:szCs w:val="24"/>
        </w:rPr>
        <w:t>0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 (</w:t>
      </w:r>
      <w:r w:rsidR="00DA51C4" w:rsidRPr="0022496A">
        <w:rPr>
          <w:rStyle w:val="af4"/>
          <w:iCs/>
          <w:color w:val="000000"/>
          <w:sz w:val="24"/>
          <w:szCs w:val="24"/>
        </w:rPr>
        <w:t>трид</w:t>
      </w:r>
      <w:r w:rsidR="009D43DD" w:rsidRPr="0022496A">
        <w:rPr>
          <w:rStyle w:val="af4"/>
          <w:iCs/>
          <w:color w:val="000000"/>
          <w:sz w:val="24"/>
          <w:szCs w:val="24"/>
        </w:rPr>
        <w:t>цать) календарных дней.</w:t>
      </w:r>
      <w:proofErr w:type="gramEnd"/>
      <w:r w:rsidR="009D43DD" w:rsidRPr="0022496A">
        <w:rPr>
          <w:rStyle w:val="af4"/>
          <w:iCs/>
          <w:color w:val="000000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(оригиналы паспортов, сертификатов, 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CD5981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453FBA" w:rsidRPr="00453FBA">
        <w:rPr>
          <w:rFonts w:ascii="Times New Roman" w:hAnsi="Times New Roman" w:cs="Times New Roman"/>
        </w:rPr>
        <w:t>изделий для стерилизации</w:t>
      </w:r>
      <w:r w:rsidR="00453FBA">
        <w:rPr>
          <w:b/>
        </w:rPr>
        <w:t xml:space="preserve"> </w:t>
      </w:r>
      <w:r w:rsidR="00453FBA">
        <w:rPr>
          <w:b/>
          <w:sz w:val="24"/>
          <w:szCs w:val="24"/>
        </w:rPr>
        <w:t xml:space="preserve"> 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4615F9" w:rsidRPr="00C06C67" w:rsidTr="00D776F2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5A0E83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4615F9" w:rsidRPr="00F01838" w:rsidRDefault="004615F9" w:rsidP="002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200 мм, ширина не менее 100мм. Форма выпуска: в упаковке не менее 100 шт. Срок годности не менее 5 лет.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80457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A500E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281,62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95DD1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95DD1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111648,00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4615F9" w:rsidRPr="00F01838" w:rsidRDefault="004615F9" w:rsidP="002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280 мм, ширина не менее 150 мм. Форма выпуска: в упаковке не менее 100 шт. Срок годности не менее 5 лет.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916834" w:rsidRDefault="00916834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8045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A500E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95DD1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834" w:rsidRDefault="00916834" w:rsidP="00916834">
            <w:pPr>
              <w:jc w:val="center"/>
              <w:rPr>
                <w:b/>
                <w:bCs/>
                <w:color w:val="000000"/>
              </w:rPr>
            </w:pPr>
          </w:p>
          <w:p w:rsidR="00916834" w:rsidRPr="00916834" w:rsidRDefault="00916834" w:rsidP="009168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834">
              <w:rPr>
                <w:rFonts w:ascii="Times New Roman" w:hAnsi="Times New Roman" w:cs="Times New Roman"/>
                <w:b/>
                <w:bCs/>
                <w:color w:val="000000"/>
              </w:rPr>
              <w:t>192033,60</w:t>
            </w:r>
          </w:p>
          <w:p w:rsidR="004615F9" w:rsidRPr="002A06D1" w:rsidRDefault="004615F9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стерилизации </w:t>
            </w:r>
          </w:p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Пакеты бумажные, самоклеющиеся для паровой и воздушной стерилизации белого цвета с индикатором 1 класса. Срок хранения медицинских изделий после стерилизации в пакетах не менее 60 дней.</w:t>
            </w:r>
          </w:p>
          <w:p w:rsidR="004615F9" w:rsidRPr="00F01838" w:rsidRDefault="004615F9" w:rsidP="002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Длина не менее 320 мм, ширина не менее 250 мм. Форма выпуска: в упаковке не менее 100 шт. Срок годности не менее 5 лет.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8045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A500E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622,18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95DD1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616,79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95DD1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123358,00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стерилизации </w:t>
            </w:r>
          </w:p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150 мм.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</w:t>
            </w:r>
            <w:r w:rsidRPr="00F01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 г/кв.м. Температура сваривания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8045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BA500E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2362,00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2354,78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4709,56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стерилизации </w:t>
            </w:r>
          </w:p>
          <w:p w:rsidR="004615F9" w:rsidRPr="00F0183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1838">
                <w:rPr>
                  <w:rFonts w:ascii="Times New Roman" w:hAnsi="Times New Roman" w:cs="Times New Roman"/>
                  <w:sz w:val="20"/>
                  <w:szCs w:val="20"/>
                </w:rPr>
                <w:t>100 мм</w:t>
              </w:r>
            </w:smartTag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60 г/кв.м. Температура сваривания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1558,72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4676,16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CF3758" w:rsidRDefault="004615F9" w:rsidP="0021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Рулон для стерилизации </w:t>
            </w:r>
          </w:p>
          <w:p w:rsidR="004615F9" w:rsidRPr="00CF375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Рулон для стерилизации плоский бумажно-пленочный. Для стерилизации паровым методом, газовым методом с применением окиси этилена и газовым методом с применением формальдегида, с индикаторами, находящимися между слоями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. Параметры: длина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F3758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75 мм.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не менее чем 55,5 г/кв.м. Плотность бумаги не менее 60 г/кв.м. Температура сваривания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с бумагой в диапазоне от 170 до 185 градус С. Срок хранения </w:t>
            </w:r>
            <w:proofErr w:type="spell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простерилизованного</w:t>
            </w:r>
            <w:proofErr w:type="spellEnd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данной упаковке не менее 48 месяцев.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CF375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CF375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1193,17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3579,51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воздушной стерилизации – температуры стерилизации 180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времени стерилизационной выдержки 60 минут в камере воздушного стерилизатора.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не менее  1000 тестов.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293,63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290,08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342962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5801,60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паровой стерилизации - температуры стерилизации 134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времени стерилизационной выдержки 5 </w:t>
            </w:r>
            <w:r w:rsidRPr="00F01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минут и наличия насыщенного водяного пара: </w:t>
            </w:r>
            <w:r w:rsidRPr="00F01838">
              <w:rPr>
                <w:rFonts w:ascii="Times New Roman" w:hAnsi="Times New Roman" w:cs="Times New Roman"/>
                <w:bCs/>
                <w:sz w:val="20"/>
                <w:szCs w:val="20"/>
              </w:rPr>
              <w:t>в стерилизационной камере и внутри изделий и упаковок</w:t>
            </w: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 паровых стерилизаторах с удалением воздуха из стерилизационной камеры методом многоступенчатого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. 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1000 тестов.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654E3B" w:rsidP="003C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3C33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3C33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1977A6" w:rsidP="003C33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840,77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1977A6" w:rsidP="003C33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42038,50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Предназначены для оперативного контроля соблюдения критических параметров паровой стерилизации - температуры стерилизации 121 градусов</w:t>
            </w:r>
            <w:proofErr w:type="gram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 xml:space="preserve">, времени стерилизационной выдержки 20 минут и наличия насыщенного водяного пара: в стерилизационной камере и внутри изделий и упаковок, в паровых стерилизаторах с удалением воздуха из стерилизационной камеры методом многоступенчатого </w:t>
            </w:r>
            <w:proofErr w:type="spellStart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  <w:proofErr w:type="spellEnd"/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. Используются однократно и имеют самоклеющуюся поверхность для вклеивания в специально предназначенный для этих целей журнал контроля стерилизации.</w:t>
            </w:r>
          </w:p>
          <w:p w:rsidR="004615F9" w:rsidRPr="00F01838" w:rsidRDefault="004615F9" w:rsidP="0021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8">
              <w:rPr>
                <w:rFonts w:ascii="Times New Roman" w:hAnsi="Times New Roman" w:cs="Times New Roman"/>
                <w:sz w:val="20"/>
                <w:szCs w:val="20"/>
              </w:rPr>
              <w:t>В одной упаковке 1000 тестов.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38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jc w:val="center"/>
              <w:rPr>
                <w:rFonts w:ascii="Times New Roman" w:hAnsi="Times New Roman" w:cs="Times New Roman"/>
              </w:rPr>
            </w:pPr>
            <w:r w:rsidRPr="00F01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34A5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537D70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841,47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537D70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4207,35</w:t>
            </w:r>
          </w:p>
        </w:tc>
      </w:tr>
      <w:tr w:rsidR="004615F9" w:rsidRPr="00C06C67" w:rsidTr="000152F7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Default="004615F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F9" w:rsidRPr="00F13C75" w:rsidRDefault="004615F9" w:rsidP="00214F0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для стерилизации </w:t>
            </w:r>
            <w:r w:rsidRPr="007F5E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мм х500мм.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белого, голубого, зелёного цветов, плотностью 60 г/м</w:t>
            </w:r>
            <w:proofErr w:type="gram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разработана для паровой, воздушной,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этиленоксидной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пароформальдегидной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радиационной стерилизации.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 проницаема для определённых стерилизующих агентов и непроницаема для микроорганизмов при соблюдении правил упаковывания, режимов стерилизации, условий и сроков хранения в ней </w:t>
            </w:r>
            <w:proofErr w:type="spellStart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простерилизованных</w:t>
            </w:r>
            <w:proofErr w:type="spellEnd"/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изделий.</w:t>
            </w: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продукта:</w:t>
            </w:r>
            <w:r w:rsidRPr="00F13C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 DIN EN 868, ГОСТ ISO 11607-2011;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Сохраняет прочность и целостность во время и после стерилизации;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Срок сохранения стерильности изделий после стерилизации – до 6 месяцев;</w:t>
            </w:r>
            <w:r w:rsidRPr="00F1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Гарантийный срок годности – 5 лет.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Упаковка 500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38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F9" w:rsidRPr="00F01838" w:rsidRDefault="004615F9" w:rsidP="00214F0A">
            <w:pPr>
              <w:jc w:val="center"/>
              <w:rPr>
                <w:rFonts w:ascii="Times New Roman" w:hAnsi="Times New Roman" w:cs="Times New Roman"/>
              </w:rPr>
            </w:pPr>
            <w:r w:rsidRPr="00F01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34A5B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9F4B34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CC1807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4432,50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482C81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4379,67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2A06D1" w:rsidRDefault="00482C81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4379,67</w:t>
            </w:r>
          </w:p>
        </w:tc>
      </w:tr>
      <w:tr w:rsidR="004615F9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9" w:rsidRPr="003D7A02" w:rsidRDefault="004615F9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9" w:rsidRPr="00F544AE" w:rsidRDefault="006B733D" w:rsidP="003D7A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496 431,95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642382">
          <w:pgSz w:w="16838" w:h="11906" w:orient="landscape"/>
          <w:pgMar w:top="567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91C26"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847AC0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6F9" w:rsidRPr="00847AC0" w:rsidRDefault="00D236F9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D236F9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D236F9" w:rsidRPr="004F2972" w:rsidRDefault="00D236F9" w:rsidP="00D236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FD5743" w:rsidRPr="00FD5743">
        <w:rPr>
          <w:rFonts w:ascii="Times New Roman" w:hAnsi="Times New Roman" w:cs="Times New Roman"/>
          <w:sz w:val="24"/>
          <w:szCs w:val="24"/>
        </w:rPr>
        <w:t>изделий для стерилизации</w:t>
      </w:r>
      <w:r w:rsidR="00FD5743">
        <w:rPr>
          <w:b/>
        </w:rPr>
        <w:t xml:space="preserve"> </w:t>
      </w:r>
      <w:r w:rsidR="00FD5743">
        <w:rPr>
          <w:b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Источник финансирования: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F7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98041C" w:rsidRPr="00544D8F" w:rsidRDefault="0098041C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534C63" w:rsidRPr="00A45560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CA5D8B" w:rsidRPr="004F2972">
        <w:rPr>
          <w:rFonts w:ascii="Times New Roman" w:hAnsi="Times New Roman" w:cs="Times New Roman"/>
          <w:sz w:val="24"/>
          <w:szCs w:val="24"/>
        </w:rPr>
        <w:t>Отгрузка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="00CA5D8B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по за</w:t>
      </w:r>
      <w:r w:rsidR="0078329B">
        <w:rPr>
          <w:rFonts w:ascii="Times New Roman" w:hAnsi="Times New Roman" w:cs="Times New Roman"/>
          <w:bCs/>
          <w:sz w:val="24"/>
          <w:szCs w:val="24"/>
        </w:rPr>
        <w:t>явке Заказчика</w:t>
      </w:r>
      <w:r w:rsidR="00876E86">
        <w:rPr>
          <w:rFonts w:ascii="Times New Roman" w:hAnsi="Times New Roman" w:cs="Times New Roman"/>
          <w:bCs/>
          <w:sz w:val="24"/>
          <w:szCs w:val="24"/>
        </w:rPr>
        <w:t>,</w:t>
      </w:r>
      <w:r w:rsidR="00876E86" w:rsidRPr="0087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E86">
        <w:rPr>
          <w:rFonts w:ascii="Times New Roman" w:hAnsi="Times New Roman" w:cs="Times New Roman"/>
          <w:bCs/>
          <w:sz w:val="24"/>
          <w:szCs w:val="24"/>
        </w:rPr>
        <w:t>но не позднее 31.08.2018г.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.</w:t>
      </w:r>
      <w:r w:rsidR="00CA5D8B"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proofErr w:type="gramStart"/>
      <w:r w:rsidR="00E57002" w:rsidRPr="001679CC">
        <w:rPr>
          <w:rFonts w:ascii="Times New Roman" w:hAnsi="Times New Roman" w:cs="Times New Roman"/>
          <w:bCs/>
          <w:lang w:val="en-US"/>
        </w:rPr>
        <w:t>C</w:t>
      </w:r>
      <w:proofErr w:type="gramEnd"/>
      <w:r w:rsidR="00E57002" w:rsidRPr="001679CC">
        <w:rPr>
          <w:rStyle w:val="af4"/>
          <w:iCs/>
          <w:sz w:val="22"/>
          <w:szCs w:val="22"/>
        </w:rPr>
        <w:t xml:space="preserve">рок поставки каждой партии с момента подачи заявки </w:t>
      </w:r>
      <w:r w:rsidR="00E57002">
        <w:rPr>
          <w:rStyle w:val="af4"/>
          <w:iCs/>
          <w:sz w:val="22"/>
          <w:szCs w:val="22"/>
        </w:rPr>
        <w:t>3</w:t>
      </w:r>
      <w:r w:rsidR="00E57002" w:rsidRPr="001679CC">
        <w:rPr>
          <w:rStyle w:val="af4"/>
          <w:iCs/>
          <w:sz w:val="22"/>
          <w:szCs w:val="22"/>
        </w:rPr>
        <w:t>0 (</w:t>
      </w:r>
      <w:r w:rsidR="00E57002">
        <w:rPr>
          <w:rStyle w:val="af4"/>
          <w:iCs/>
          <w:sz w:val="22"/>
          <w:szCs w:val="22"/>
        </w:rPr>
        <w:t>три</w:t>
      </w:r>
      <w:r w:rsidR="00E57002" w:rsidRPr="001679CC">
        <w:rPr>
          <w:rStyle w:val="af4"/>
          <w:iCs/>
          <w:sz w:val="22"/>
          <w:szCs w:val="22"/>
        </w:rPr>
        <w:t xml:space="preserve">дцать) календарных дней. 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 w:rsidR="002B4605"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 w:rsidR="002B4605"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967452" w:rsidRDefault="00967452" w:rsidP="00967452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lastRenderedPageBreak/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967452" w:rsidRPr="00A32C4E" w:rsidRDefault="00967452" w:rsidP="00967452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52" w:rsidRDefault="00967452" w:rsidP="00967452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967452" w:rsidRPr="00792DE8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967452" w:rsidRPr="00EA7B6D" w:rsidRDefault="00967452" w:rsidP="00967452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967452" w:rsidRPr="0022040F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CB183E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847AC0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D236F9" w:rsidRPr="00847AC0" w:rsidRDefault="00D236F9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</w:t>
      </w:r>
      <w:r w:rsidRPr="00105D75">
        <w:rPr>
          <w:rFonts w:ascii="Times New Roman" w:hAnsi="Times New Roman"/>
          <w:bCs/>
          <w:sz w:val="24"/>
          <w:szCs w:val="24"/>
        </w:rPr>
        <w:lastRenderedPageBreak/>
        <w:t>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203FC5" w:rsidRDefault="00203FC5" w:rsidP="00203FC5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3FC5" w:rsidRPr="004F2972" w:rsidRDefault="00203FC5" w:rsidP="00203FC5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203FC5" w:rsidRPr="004F2972" w:rsidRDefault="00203FC5" w:rsidP="00203FC5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203FC5" w:rsidRPr="004F2972" w:rsidRDefault="00203FC5" w:rsidP="00203FC5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3FC5" w:rsidRPr="004F2972" w:rsidRDefault="00203FC5" w:rsidP="00203FC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203FC5" w:rsidRPr="004F2972" w:rsidRDefault="00203FC5" w:rsidP="00203F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203FC5" w:rsidRPr="004F2972" w:rsidRDefault="00203FC5" w:rsidP="0020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203FC5" w:rsidRPr="004F2972" w:rsidTr="00C523C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4F2972" w:rsidRDefault="00203FC5" w:rsidP="00C5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203FC5" w:rsidRPr="004F2972" w:rsidRDefault="00203FC5" w:rsidP="00C523C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3202A7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A29A4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D64CB4" w:rsidRPr="00D64CB4">
        <w:rPr>
          <w:rFonts w:ascii="Times New Roman" w:hAnsi="Times New Roman" w:cs="Times New Roman"/>
          <w:b/>
          <w:sz w:val="24"/>
          <w:szCs w:val="24"/>
        </w:rPr>
        <w:t>изделий для стерилизации</w:t>
      </w:r>
      <w:r w:rsidR="00D64CB4">
        <w:rPr>
          <w:b/>
        </w:rPr>
        <w:t xml:space="preserve"> </w:t>
      </w:r>
      <w:r w:rsidR="00D64CB4">
        <w:rPr>
          <w:b/>
          <w:sz w:val="24"/>
          <w:szCs w:val="24"/>
        </w:rPr>
        <w:t xml:space="preserve"> 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3F" w:rsidRPr="004F2972" w:rsidTr="00356F3C">
        <w:tc>
          <w:tcPr>
            <w:tcW w:w="710" w:type="dxa"/>
          </w:tcPr>
          <w:p w:rsidR="003A083F" w:rsidRPr="004F2972" w:rsidRDefault="003A083F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A083F" w:rsidRPr="003A083F" w:rsidRDefault="003A083F" w:rsidP="003A0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A083F" w:rsidRPr="004F2972" w:rsidRDefault="003A083F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D62"/>
    <w:rsid w:val="000A445B"/>
    <w:rsid w:val="000A4C98"/>
    <w:rsid w:val="000A4D6B"/>
    <w:rsid w:val="000A57AA"/>
    <w:rsid w:val="000A60ED"/>
    <w:rsid w:val="000A639F"/>
    <w:rsid w:val="000A674B"/>
    <w:rsid w:val="000A6AD1"/>
    <w:rsid w:val="000A6C58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3EF7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7A6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E6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552"/>
    <w:rsid w:val="001E37EB"/>
    <w:rsid w:val="001E383B"/>
    <w:rsid w:val="001E38F9"/>
    <w:rsid w:val="001E43C6"/>
    <w:rsid w:val="001E49D3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3FC5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96A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12A5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5490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1732"/>
    <w:rsid w:val="002D2244"/>
    <w:rsid w:val="002D256F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70C"/>
    <w:rsid w:val="00317FA5"/>
    <w:rsid w:val="003202A7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962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5DD1"/>
    <w:rsid w:val="003962E2"/>
    <w:rsid w:val="0039663A"/>
    <w:rsid w:val="00396657"/>
    <w:rsid w:val="003967C4"/>
    <w:rsid w:val="00397055"/>
    <w:rsid w:val="00397A17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D7B"/>
    <w:rsid w:val="003D0DE3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4347"/>
    <w:rsid w:val="003E4394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E6"/>
    <w:rsid w:val="003F7451"/>
    <w:rsid w:val="003F7844"/>
    <w:rsid w:val="003F792A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15F9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3D14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C81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37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680"/>
    <w:rsid w:val="004C010B"/>
    <w:rsid w:val="004C0242"/>
    <w:rsid w:val="004C031D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09B0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D70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3DF"/>
    <w:rsid w:val="00583A81"/>
    <w:rsid w:val="0058589B"/>
    <w:rsid w:val="005861AB"/>
    <w:rsid w:val="005861BE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E92"/>
    <w:rsid w:val="00632FD1"/>
    <w:rsid w:val="006337F6"/>
    <w:rsid w:val="00633CF6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382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4E3B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1C26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33D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777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2177"/>
    <w:rsid w:val="00752616"/>
    <w:rsid w:val="007526CD"/>
    <w:rsid w:val="007527E3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5037"/>
    <w:rsid w:val="00775A32"/>
    <w:rsid w:val="00775BAC"/>
    <w:rsid w:val="00775DED"/>
    <w:rsid w:val="00775EED"/>
    <w:rsid w:val="0077601C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9D1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7069"/>
    <w:rsid w:val="007F0005"/>
    <w:rsid w:val="007F0077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2A7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35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AC0"/>
    <w:rsid w:val="00847B2D"/>
    <w:rsid w:val="0085006F"/>
    <w:rsid w:val="00850880"/>
    <w:rsid w:val="00850C5E"/>
    <w:rsid w:val="00850F05"/>
    <w:rsid w:val="00851040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6E86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4A"/>
    <w:rsid w:val="008B417B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21"/>
    <w:rsid w:val="008C3080"/>
    <w:rsid w:val="008C36FB"/>
    <w:rsid w:val="008C3A69"/>
    <w:rsid w:val="008C5049"/>
    <w:rsid w:val="008C50B7"/>
    <w:rsid w:val="008C532C"/>
    <w:rsid w:val="008C6E1B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6834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E48"/>
    <w:rsid w:val="00965EF8"/>
    <w:rsid w:val="00966004"/>
    <w:rsid w:val="009667E3"/>
    <w:rsid w:val="00967452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974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4B3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2E29"/>
    <w:rsid w:val="00A03052"/>
    <w:rsid w:val="00A038A6"/>
    <w:rsid w:val="00A0390A"/>
    <w:rsid w:val="00A03BC0"/>
    <w:rsid w:val="00A048C7"/>
    <w:rsid w:val="00A050CC"/>
    <w:rsid w:val="00A05756"/>
    <w:rsid w:val="00A05D3C"/>
    <w:rsid w:val="00A05D53"/>
    <w:rsid w:val="00A069A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66B3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4AF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5E62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B6F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0457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1FD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00E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A5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1FB"/>
    <w:rsid w:val="00C402C4"/>
    <w:rsid w:val="00C41F71"/>
    <w:rsid w:val="00C422DC"/>
    <w:rsid w:val="00C426AD"/>
    <w:rsid w:val="00C432B7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3A1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59"/>
    <w:rsid w:val="00C85E6E"/>
    <w:rsid w:val="00C86823"/>
    <w:rsid w:val="00C86867"/>
    <w:rsid w:val="00C86F91"/>
    <w:rsid w:val="00C87140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644B"/>
    <w:rsid w:val="00CA051F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183E"/>
    <w:rsid w:val="00CB20DA"/>
    <w:rsid w:val="00CB22C2"/>
    <w:rsid w:val="00CB248D"/>
    <w:rsid w:val="00CB2BD0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1807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981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3758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B4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6F9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3DA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1C4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4C83"/>
    <w:rsid w:val="00DB5268"/>
    <w:rsid w:val="00DB5D71"/>
    <w:rsid w:val="00DB5F61"/>
    <w:rsid w:val="00DB6212"/>
    <w:rsid w:val="00DB65F1"/>
    <w:rsid w:val="00DB6736"/>
    <w:rsid w:val="00DB6783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2284"/>
    <w:rsid w:val="00E12386"/>
    <w:rsid w:val="00E12826"/>
    <w:rsid w:val="00E12897"/>
    <w:rsid w:val="00E13DF5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0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AC5"/>
    <w:rsid w:val="00EB4EC6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1838"/>
    <w:rsid w:val="00F0262E"/>
    <w:rsid w:val="00F030B6"/>
    <w:rsid w:val="00F030E2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13A"/>
    <w:rsid w:val="00F1075E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20682"/>
    <w:rsid w:val="00F2100D"/>
    <w:rsid w:val="00F21818"/>
    <w:rsid w:val="00F21FBA"/>
    <w:rsid w:val="00F22499"/>
    <w:rsid w:val="00F22711"/>
    <w:rsid w:val="00F23302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44AE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2201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203F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040A-27E1-43E5-8CC8-05F1C0AE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5188</TotalTime>
  <Pages>11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1014</cp:revision>
  <cp:lastPrinted>2018-01-23T01:13:00Z</cp:lastPrinted>
  <dcterms:created xsi:type="dcterms:W3CDTF">2015-03-17T03:08:00Z</dcterms:created>
  <dcterms:modified xsi:type="dcterms:W3CDTF">2018-01-23T03:33:00Z</dcterms:modified>
</cp:coreProperties>
</file>